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06" w:type="dxa"/>
        <w:tblLook w:val="04A0" w:firstRow="1" w:lastRow="0" w:firstColumn="1" w:lastColumn="0" w:noHBand="0" w:noVBand="1"/>
      </w:tblPr>
      <w:tblGrid>
        <w:gridCol w:w="5698"/>
        <w:gridCol w:w="270"/>
        <w:gridCol w:w="5138"/>
      </w:tblGrid>
      <w:tr w:rsidR="00370325" w:rsidRPr="009075E4" w:rsidTr="00370325">
        <w:trPr>
          <w:trHeight w:val="729"/>
        </w:trPr>
        <w:tc>
          <w:tcPr>
            <w:tcW w:w="11106" w:type="dxa"/>
            <w:gridSpan w:val="3"/>
            <w:tcBorders>
              <w:top w:val="nil"/>
              <w:left w:val="nil"/>
              <w:bottom w:val="nil"/>
              <w:right w:val="nil"/>
            </w:tcBorders>
          </w:tcPr>
          <w:p w:rsidR="00370325" w:rsidRDefault="00370325" w:rsidP="00F30EFC">
            <w:pP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7988BDD3" wp14:editId="0DE752B9">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370325" w:rsidRPr="009075E4" w:rsidRDefault="00370325" w:rsidP="00370325">
            <w:pPr>
              <w:spacing w:after="120"/>
              <w:rPr>
                <w:rFonts w:cs="Segoe UI"/>
                <w:color w:val="002B5C"/>
                <w:szCs w:val="20"/>
              </w:rPr>
            </w:pPr>
            <w:r w:rsidRPr="00526175">
              <w:rPr>
                <w:rFonts w:ascii="Verdana" w:hAnsi="Verdana"/>
                <w:b/>
                <w:bCs/>
                <w:sz w:val="48"/>
                <w:szCs w:val="48"/>
              </w:rPr>
              <w:t>#2 Trust Account Controls</w:t>
            </w:r>
            <w:r w:rsidRPr="00526175">
              <w:rPr>
                <w:rFonts w:asciiTheme="minorHAnsi" w:hAnsiTheme="minorHAnsi"/>
                <w:sz w:val="22"/>
              </w:rPr>
              <w:br/>
            </w:r>
            <w:r w:rsidRPr="00526175">
              <w:rPr>
                <w:rFonts w:ascii="Verdana" w:hAnsi="Verdana"/>
                <w:b/>
                <w:bCs/>
                <w:sz w:val="21"/>
                <w:szCs w:val="21"/>
              </w:rPr>
              <w:t>Adopt and maintain appropriate written procedures and controls for Escrow Trust* Accounts allowing for electronic verification of reconciliation.</w:t>
            </w:r>
          </w:p>
        </w:tc>
      </w:tr>
      <w:tr w:rsidR="00370325" w:rsidTr="00370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06" w:type="dxa"/>
            <w:gridSpan w:val="3"/>
          </w:tcPr>
          <w:p w:rsidR="00370325" w:rsidRPr="00162485" w:rsidRDefault="00370325" w:rsidP="00F30EFC">
            <w:pPr>
              <w:pStyle w:val="Heading1"/>
              <w:spacing w:before="0" w:beforeAutospacing="0" w:after="0" w:afterAutospacing="0"/>
              <w:outlineLvl w:val="0"/>
            </w:pPr>
            <w:r w:rsidRPr="00162485">
              <w:t>Purpose</w:t>
            </w:r>
          </w:p>
          <w:p w:rsidR="00370325" w:rsidRDefault="00370325" w:rsidP="00F30EFC">
            <w:pPr>
              <w:jc w:val="both"/>
              <w:rPr>
                <w:b/>
                <w:color w:val="FFC425"/>
                <w:szCs w:val="20"/>
              </w:rPr>
            </w:pPr>
            <w:r w:rsidRPr="009A7808">
              <w:rPr>
                <w:rFonts w:cs="Segoe UI"/>
                <w:szCs w:val="20"/>
              </w:rPr>
              <w:t>Appropriate and effective escrow controls and staff training help title and settlement companies meet client and legal requirements for the safeguarding of client funds. These procedures ensure accuracy and minimize the exposure to loss of client funds. Settlement companies may engage outside contractors to conduct segregation of trust accounting duties</w:t>
            </w:r>
            <w:r>
              <w:rPr>
                <w:rFonts w:cs="Segoe UI"/>
                <w:szCs w:val="20"/>
              </w:rPr>
              <w:t>.</w:t>
            </w:r>
          </w:p>
        </w:tc>
      </w:tr>
      <w:tr w:rsidR="00370325" w:rsidRPr="002C754F" w:rsidTr="00370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Pr>
          <w:p w:rsidR="00370325" w:rsidRPr="00FF3588" w:rsidRDefault="00370325" w:rsidP="00F30EFC">
            <w:pPr>
              <w:pStyle w:val="Heading1"/>
              <w:spacing w:before="0" w:beforeAutospacing="0" w:after="0" w:afterAutospacing="0"/>
              <w:jc w:val="both"/>
              <w:outlineLvl w:val="0"/>
            </w:pPr>
            <w:r w:rsidRPr="00FF3588">
              <w:t>What You Should Know</w:t>
            </w:r>
          </w:p>
          <w:p w:rsidR="00370325" w:rsidRPr="002255B9" w:rsidRDefault="00370325" w:rsidP="00F30EFC">
            <w:pPr>
              <w:pStyle w:val="Heading2"/>
              <w:spacing w:before="0"/>
              <w:outlineLvl w:val="1"/>
              <w:rPr>
                <w:b w:val="0"/>
                <w:color w:val="auto"/>
                <w:sz w:val="20"/>
                <w:szCs w:val="20"/>
              </w:rPr>
            </w:pPr>
            <w:r w:rsidRPr="002255B9">
              <w:rPr>
                <w:b w:val="0"/>
                <w:color w:val="auto"/>
                <w:sz w:val="20"/>
                <w:szCs w:val="20"/>
              </w:rPr>
              <w:t xml:space="preserve">North Carolina attorneys must comply with the State Bar Trust Account Handbook, on-line at </w:t>
            </w:r>
            <w:hyperlink r:id="rId7" w:history="1">
              <w:r w:rsidRPr="002255B9">
                <w:rPr>
                  <w:rStyle w:val="Hyperlink"/>
                  <w:b w:val="0"/>
                  <w:color w:val="auto"/>
                  <w:sz w:val="20"/>
                  <w:szCs w:val="20"/>
                </w:rPr>
                <w:t>www.ncbar.gov--</w:t>
              </w:r>
            </w:hyperlink>
            <w:r w:rsidRPr="002255B9">
              <w:rPr>
                <w:b w:val="0"/>
                <w:color w:val="auto"/>
                <w:sz w:val="20"/>
                <w:szCs w:val="20"/>
              </w:rPr>
              <w:t xml:space="preserve">&gt; Programs </w:t>
            </w:r>
            <w:r w:rsidRPr="002255B9">
              <w:rPr>
                <w:b w:val="0"/>
                <w:color w:val="auto"/>
                <w:sz w:val="20"/>
                <w:szCs w:val="20"/>
              </w:rPr>
              <w:sym w:font="Wingdings" w:char="F0E0"/>
            </w:r>
            <w:r w:rsidRPr="002255B9">
              <w:rPr>
                <w:b w:val="0"/>
                <w:color w:val="auto"/>
                <w:sz w:val="20"/>
                <w:szCs w:val="20"/>
              </w:rPr>
              <w:t>Trust Accounting</w:t>
            </w:r>
            <w:r>
              <w:rPr>
                <w:b w:val="0"/>
                <w:color w:val="auto"/>
                <w:sz w:val="20"/>
                <w:szCs w:val="20"/>
              </w:rPr>
              <w:t>, and Rule 1.15-3, Records and Accountings, of the Revised Rules of Professional Conduct</w:t>
            </w:r>
          </w:p>
          <w:p w:rsidR="00370325" w:rsidRDefault="00370325" w:rsidP="00F30EFC">
            <w:pPr>
              <w:pStyle w:val="Heading2"/>
              <w:outlineLvl w:val="1"/>
            </w:pPr>
            <w:r>
              <w:t>Trust Account Control Procedures</w:t>
            </w:r>
          </w:p>
          <w:p w:rsidR="00370325" w:rsidRPr="008B0B08" w:rsidRDefault="00370325" w:rsidP="00370325">
            <w:pPr>
              <w:pStyle w:val="ListParagraph"/>
              <w:numPr>
                <w:ilvl w:val="0"/>
                <w:numId w:val="2"/>
              </w:numPr>
              <w:spacing w:before="0" w:after="0"/>
              <w:jc w:val="both"/>
              <w:rPr>
                <w:sz w:val="18"/>
                <w:szCs w:val="17"/>
              </w:rPr>
            </w:pPr>
            <w:r w:rsidRPr="008B0B08">
              <w:rPr>
                <w:sz w:val="18"/>
                <w:szCs w:val="17"/>
              </w:rPr>
              <w:t xml:space="preserve">Establish separate accounts for </w:t>
            </w:r>
            <w:r>
              <w:rPr>
                <w:sz w:val="18"/>
                <w:szCs w:val="17"/>
              </w:rPr>
              <w:t>trust</w:t>
            </w:r>
            <w:r w:rsidRPr="008B0B08">
              <w:rPr>
                <w:sz w:val="18"/>
                <w:szCs w:val="17"/>
              </w:rPr>
              <w:t xml:space="preserve"> funds and operating funds.</w:t>
            </w:r>
          </w:p>
          <w:p w:rsidR="00370325" w:rsidRPr="008B0B08" w:rsidRDefault="00370325" w:rsidP="00370325">
            <w:pPr>
              <w:pStyle w:val="ListParagraph"/>
              <w:numPr>
                <w:ilvl w:val="0"/>
                <w:numId w:val="2"/>
              </w:numPr>
              <w:spacing w:before="0" w:after="0"/>
              <w:jc w:val="both"/>
              <w:rPr>
                <w:sz w:val="18"/>
                <w:szCs w:val="17"/>
              </w:rPr>
            </w:pPr>
            <w:r w:rsidRPr="008B0B08">
              <w:rPr>
                <w:sz w:val="18"/>
                <w:szCs w:val="17"/>
              </w:rPr>
              <w:t>Identify these accounts accordingly as trust accounts and ensure appropriate identification appears on all account-related documentation, including bank statements, disbursement checks and deposit tickets.</w:t>
            </w:r>
          </w:p>
          <w:p w:rsidR="00370325" w:rsidRPr="008B0B08" w:rsidRDefault="00370325" w:rsidP="00370325">
            <w:pPr>
              <w:pStyle w:val="ListParagraph"/>
              <w:numPr>
                <w:ilvl w:val="0"/>
                <w:numId w:val="2"/>
              </w:numPr>
              <w:spacing w:before="0" w:after="0"/>
              <w:jc w:val="both"/>
              <w:rPr>
                <w:sz w:val="18"/>
                <w:szCs w:val="17"/>
              </w:rPr>
            </w:pPr>
            <w:r w:rsidRPr="008B0B08">
              <w:rPr>
                <w:sz w:val="18"/>
                <w:szCs w:val="17"/>
              </w:rPr>
              <w:t>Use positive pay, automated clearing house (ACH) blocks and international wire blocks where available.</w:t>
            </w:r>
          </w:p>
          <w:p w:rsidR="00370325" w:rsidRPr="008B0B08" w:rsidRDefault="00370325" w:rsidP="00370325">
            <w:pPr>
              <w:pStyle w:val="ListParagraph"/>
              <w:numPr>
                <w:ilvl w:val="0"/>
                <w:numId w:val="2"/>
              </w:numPr>
              <w:spacing w:before="0" w:after="0"/>
              <w:jc w:val="both"/>
              <w:rPr>
                <w:sz w:val="18"/>
                <w:szCs w:val="17"/>
              </w:rPr>
            </w:pPr>
            <w:r w:rsidRPr="008B0B08">
              <w:rPr>
                <w:sz w:val="18"/>
                <w:szCs w:val="17"/>
              </w:rPr>
              <w:t xml:space="preserve">Provide your banking institution with names of authorized personnel who can initiate </w:t>
            </w:r>
            <w:r>
              <w:rPr>
                <w:sz w:val="18"/>
                <w:szCs w:val="17"/>
              </w:rPr>
              <w:t>or approve banking transactions or sign checks.</w:t>
            </w:r>
          </w:p>
          <w:p w:rsidR="00370325" w:rsidRPr="008B0B08" w:rsidRDefault="00370325" w:rsidP="00370325">
            <w:pPr>
              <w:pStyle w:val="ListParagraph"/>
              <w:numPr>
                <w:ilvl w:val="0"/>
                <w:numId w:val="2"/>
              </w:numPr>
              <w:spacing w:before="0" w:after="0"/>
              <w:jc w:val="both"/>
              <w:rPr>
                <w:sz w:val="18"/>
                <w:szCs w:val="17"/>
              </w:rPr>
            </w:pPr>
            <w:r w:rsidRPr="008B0B08">
              <w:rPr>
                <w:sz w:val="18"/>
                <w:szCs w:val="17"/>
              </w:rPr>
              <w:t>Set appropriate levels of authorization for employees; review and adjust annually.</w:t>
            </w:r>
          </w:p>
          <w:p w:rsidR="00370325" w:rsidRPr="008B0B08" w:rsidRDefault="00370325" w:rsidP="00370325">
            <w:pPr>
              <w:pStyle w:val="ListParagraph"/>
              <w:numPr>
                <w:ilvl w:val="0"/>
                <w:numId w:val="2"/>
              </w:numPr>
              <w:spacing w:before="0" w:after="0"/>
              <w:jc w:val="both"/>
              <w:rPr>
                <w:sz w:val="18"/>
                <w:szCs w:val="17"/>
              </w:rPr>
            </w:pPr>
            <w:r w:rsidRPr="008B0B08">
              <w:rPr>
                <w:sz w:val="18"/>
                <w:szCs w:val="17"/>
              </w:rPr>
              <w:t xml:space="preserve">Remember to update </w:t>
            </w:r>
            <w:r>
              <w:rPr>
                <w:sz w:val="18"/>
                <w:szCs w:val="17"/>
              </w:rPr>
              <w:t>all</w:t>
            </w:r>
            <w:r w:rsidRPr="008B0B08">
              <w:rPr>
                <w:sz w:val="18"/>
                <w:szCs w:val="17"/>
              </w:rPr>
              <w:t xml:space="preserve"> if individuals leave your employment.</w:t>
            </w:r>
          </w:p>
          <w:p w:rsidR="00370325" w:rsidRDefault="00370325" w:rsidP="00370325">
            <w:pPr>
              <w:pStyle w:val="ListParagraph"/>
              <w:numPr>
                <w:ilvl w:val="0"/>
                <w:numId w:val="2"/>
              </w:numPr>
              <w:spacing w:before="0" w:after="0"/>
              <w:jc w:val="both"/>
              <w:rPr>
                <w:sz w:val="18"/>
                <w:szCs w:val="17"/>
              </w:rPr>
            </w:pPr>
            <w:r w:rsidRPr="008B0B08">
              <w:rPr>
                <w:sz w:val="18"/>
                <w:szCs w:val="17"/>
              </w:rPr>
              <w:t>Segregate duties so reconciliations are not performed by an authorized signatory or approver of bank transactions. Use an outside reconciliation service if necessary.</w:t>
            </w:r>
          </w:p>
          <w:p w:rsidR="00370325" w:rsidRPr="008B0B08" w:rsidRDefault="00370325" w:rsidP="00370325">
            <w:pPr>
              <w:pStyle w:val="ListParagraph"/>
              <w:numPr>
                <w:ilvl w:val="0"/>
                <w:numId w:val="2"/>
              </w:numPr>
              <w:spacing w:before="0" w:after="0"/>
              <w:jc w:val="both"/>
              <w:rPr>
                <w:sz w:val="18"/>
                <w:szCs w:val="17"/>
              </w:rPr>
            </w:pPr>
            <w:r>
              <w:rPr>
                <w:sz w:val="18"/>
                <w:szCs w:val="17"/>
              </w:rPr>
              <w:t>NOTE:  State Bar exemption from random audits if firm uses CPA.</w:t>
            </w:r>
          </w:p>
          <w:p w:rsidR="00370325" w:rsidRPr="008B0B08" w:rsidRDefault="00370325" w:rsidP="00370325">
            <w:pPr>
              <w:pStyle w:val="ListParagraph"/>
              <w:numPr>
                <w:ilvl w:val="0"/>
                <w:numId w:val="2"/>
              </w:numPr>
              <w:spacing w:before="0" w:after="0"/>
              <w:jc w:val="both"/>
              <w:rPr>
                <w:sz w:val="18"/>
                <w:szCs w:val="17"/>
              </w:rPr>
            </w:pPr>
            <w:r w:rsidRPr="008B0B08">
              <w:rPr>
                <w:sz w:val="18"/>
                <w:szCs w:val="17"/>
              </w:rPr>
              <w:t xml:space="preserve">Reconcile receipts and disbursements of the </w:t>
            </w:r>
            <w:r>
              <w:rPr>
                <w:sz w:val="18"/>
                <w:szCs w:val="17"/>
              </w:rPr>
              <w:t>trust account</w:t>
            </w:r>
            <w:r w:rsidRPr="008B0B08">
              <w:rPr>
                <w:sz w:val="18"/>
                <w:szCs w:val="17"/>
              </w:rPr>
              <w:t xml:space="preserve"> daily.</w:t>
            </w:r>
          </w:p>
          <w:p w:rsidR="00370325" w:rsidRPr="008B0B08" w:rsidRDefault="00370325" w:rsidP="00370325">
            <w:pPr>
              <w:pStyle w:val="ListParagraph"/>
              <w:numPr>
                <w:ilvl w:val="0"/>
                <w:numId w:val="2"/>
              </w:numPr>
              <w:spacing w:before="0" w:after="0"/>
              <w:jc w:val="both"/>
              <w:rPr>
                <w:sz w:val="18"/>
                <w:szCs w:val="17"/>
              </w:rPr>
            </w:pPr>
            <w:r w:rsidRPr="008B0B08">
              <w:rPr>
                <w:sz w:val="18"/>
                <w:szCs w:val="17"/>
              </w:rPr>
              <w:t xml:space="preserve">Prepare trial balances for all </w:t>
            </w:r>
            <w:r>
              <w:rPr>
                <w:sz w:val="18"/>
                <w:szCs w:val="17"/>
              </w:rPr>
              <w:t>trust account</w:t>
            </w:r>
            <w:r w:rsidRPr="008B0B08">
              <w:rPr>
                <w:sz w:val="18"/>
                <w:szCs w:val="17"/>
              </w:rPr>
              <w:t>s and be sure to document all outstanding file balances.</w:t>
            </w:r>
          </w:p>
          <w:p w:rsidR="00370325" w:rsidRDefault="00370325" w:rsidP="00370325">
            <w:pPr>
              <w:pStyle w:val="ListParagraph"/>
              <w:numPr>
                <w:ilvl w:val="0"/>
                <w:numId w:val="2"/>
              </w:numPr>
              <w:spacing w:before="0" w:after="0"/>
              <w:jc w:val="both"/>
              <w:rPr>
                <w:sz w:val="18"/>
                <w:szCs w:val="17"/>
              </w:rPr>
            </w:pPr>
            <w:r w:rsidRPr="008B0B08">
              <w:rPr>
                <w:sz w:val="18"/>
                <w:szCs w:val="17"/>
              </w:rPr>
              <w:t xml:space="preserve">Perform a monthly three-way reconciliation and have the results reviewed by management. </w:t>
            </w:r>
          </w:p>
          <w:p w:rsidR="00370325" w:rsidRDefault="00370325" w:rsidP="00370325">
            <w:pPr>
              <w:pStyle w:val="ListParagraph"/>
              <w:numPr>
                <w:ilvl w:val="0"/>
                <w:numId w:val="2"/>
              </w:numPr>
              <w:spacing w:before="0" w:after="0"/>
              <w:jc w:val="both"/>
              <w:rPr>
                <w:sz w:val="18"/>
                <w:szCs w:val="17"/>
              </w:rPr>
            </w:pPr>
            <w:r w:rsidRPr="008B0B08">
              <w:rPr>
                <w:sz w:val="18"/>
                <w:szCs w:val="17"/>
              </w:rPr>
              <w:t xml:space="preserve">Perform background checks on new employees </w:t>
            </w:r>
          </w:p>
          <w:p w:rsidR="00370325" w:rsidRDefault="00370325" w:rsidP="00370325">
            <w:pPr>
              <w:pStyle w:val="ListParagraph"/>
              <w:numPr>
                <w:ilvl w:val="0"/>
                <w:numId w:val="2"/>
              </w:numPr>
              <w:spacing w:before="0" w:after="0"/>
              <w:jc w:val="both"/>
              <w:rPr>
                <w:sz w:val="18"/>
                <w:szCs w:val="17"/>
              </w:rPr>
            </w:pPr>
            <w:r w:rsidRPr="008B0B08">
              <w:rPr>
                <w:sz w:val="18"/>
                <w:szCs w:val="17"/>
              </w:rPr>
              <w:t>Run background checks every three years, especially on employees with access to customer funds.</w:t>
            </w:r>
          </w:p>
          <w:p w:rsidR="00370325" w:rsidRPr="008B0B08" w:rsidRDefault="00370325" w:rsidP="00370325">
            <w:pPr>
              <w:pStyle w:val="ListParagraph"/>
              <w:numPr>
                <w:ilvl w:val="0"/>
                <w:numId w:val="2"/>
              </w:numPr>
              <w:spacing w:before="0" w:after="0"/>
              <w:jc w:val="both"/>
              <w:rPr>
                <w:sz w:val="18"/>
                <w:szCs w:val="17"/>
              </w:rPr>
            </w:pPr>
            <w:r w:rsidRPr="008A58DF">
              <w:rPr>
                <w:sz w:val="18"/>
                <w:szCs w:val="17"/>
              </w:rPr>
              <w:t xml:space="preserve">Conduct ongoing training for employees </w:t>
            </w:r>
            <w:r>
              <w:rPr>
                <w:sz w:val="18"/>
                <w:szCs w:val="17"/>
              </w:rPr>
              <w:t xml:space="preserve">or independent contractors </w:t>
            </w:r>
            <w:r w:rsidRPr="008A58DF">
              <w:rPr>
                <w:sz w:val="18"/>
                <w:szCs w:val="17"/>
              </w:rPr>
              <w:t>with respect to the proper management of escrow funds.</w:t>
            </w:r>
          </w:p>
        </w:tc>
        <w:tc>
          <w:tcPr>
            <w:tcW w:w="270" w:type="dxa"/>
            <w:tcBorders>
              <w:right w:val="thinThickLargeGap" w:sz="12" w:space="0" w:color="002B5C"/>
            </w:tcBorders>
          </w:tcPr>
          <w:p w:rsidR="00370325" w:rsidRDefault="00370325" w:rsidP="00F30EFC">
            <w:pPr>
              <w:rPr>
                <w:b/>
                <w:color w:val="FFC425"/>
                <w:szCs w:val="20"/>
              </w:rPr>
            </w:pPr>
          </w:p>
        </w:tc>
        <w:tc>
          <w:tcPr>
            <w:tcW w:w="5138" w:type="dxa"/>
            <w:tcBorders>
              <w:top w:val="thinThickLargeGap" w:sz="12" w:space="0" w:color="002B5C"/>
              <w:left w:val="thinThickLargeGap" w:sz="12" w:space="0" w:color="002B5C"/>
              <w:bottom w:val="thinThickLargeGap" w:sz="12" w:space="0" w:color="002B5C"/>
              <w:right w:val="thickThinLargeGap" w:sz="12" w:space="0" w:color="002B5C"/>
            </w:tcBorders>
            <w:shd w:val="clear" w:color="auto" w:fill="F2F2F2" w:themeFill="background1" w:themeFillShade="F2"/>
          </w:tcPr>
          <w:p w:rsidR="00370325" w:rsidRPr="00E06E94" w:rsidRDefault="00370325" w:rsidP="00F30EFC">
            <w:pPr>
              <w:pStyle w:val="Heading1"/>
              <w:outlineLvl w:val="0"/>
              <w:rPr>
                <w:color w:val="FFC425"/>
                <w:sz w:val="36"/>
              </w:rPr>
            </w:pPr>
            <w:r w:rsidRPr="00E06E94">
              <w:t>I</w:t>
            </w:r>
            <w:r w:rsidR="009271F8">
              <w:t>ssue</w:t>
            </w:r>
            <w:r w:rsidRPr="00E06E94">
              <w:t>s to Consider and Discuss</w:t>
            </w:r>
          </w:p>
          <w:p w:rsidR="00370325" w:rsidRPr="009A7808" w:rsidRDefault="00370325" w:rsidP="00370325">
            <w:pPr>
              <w:pStyle w:val="ListParagraph"/>
              <w:numPr>
                <w:ilvl w:val="0"/>
                <w:numId w:val="1"/>
              </w:numPr>
              <w:spacing w:before="0" w:after="0"/>
              <w:rPr>
                <w:rFonts w:cs="Segoe UI"/>
                <w:sz w:val="18"/>
              </w:rPr>
            </w:pPr>
            <w:r w:rsidRPr="009A7808">
              <w:rPr>
                <w:rFonts w:cs="Segoe UI"/>
                <w:sz w:val="18"/>
              </w:rPr>
              <w:t xml:space="preserve">How many </w:t>
            </w:r>
            <w:r>
              <w:rPr>
                <w:rFonts w:cs="Segoe UI"/>
                <w:sz w:val="18"/>
              </w:rPr>
              <w:t>trust account</w:t>
            </w:r>
            <w:r w:rsidRPr="009A7808">
              <w:rPr>
                <w:rFonts w:cs="Segoe UI"/>
                <w:sz w:val="18"/>
              </w:rPr>
              <w:t>s do you have or need? One for each office or one for each underwriter?</w:t>
            </w:r>
          </w:p>
          <w:p w:rsidR="00370325" w:rsidRPr="009A7808" w:rsidRDefault="00370325" w:rsidP="00370325">
            <w:pPr>
              <w:pStyle w:val="ListParagraph"/>
              <w:numPr>
                <w:ilvl w:val="0"/>
                <w:numId w:val="1"/>
              </w:numPr>
              <w:spacing w:before="0" w:after="0"/>
              <w:rPr>
                <w:rFonts w:cs="Segoe UI"/>
                <w:sz w:val="18"/>
              </w:rPr>
            </w:pPr>
            <w:r w:rsidRPr="009A7808">
              <w:rPr>
                <w:rFonts w:cs="Segoe UI"/>
                <w:sz w:val="18"/>
              </w:rPr>
              <w:t xml:space="preserve">Who has access to your </w:t>
            </w:r>
            <w:r>
              <w:rPr>
                <w:rFonts w:cs="Segoe UI"/>
                <w:sz w:val="18"/>
              </w:rPr>
              <w:t>trust account</w:t>
            </w:r>
            <w:r w:rsidRPr="009A7808">
              <w:rPr>
                <w:rFonts w:cs="Segoe UI"/>
                <w:sz w:val="18"/>
              </w:rPr>
              <w:t xml:space="preserve">(s)? How many check signers do you </w:t>
            </w:r>
            <w:r>
              <w:rPr>
                <w:rFonts w:cs="Segoe UI"/>
                <w:sz w:val="18"/>
              </w:rPr>
              <w:t xml:space="preserve">have or do you </w:t>
            </w:r>
            <w:r w:rsidRPr="009A7808">
              <w:rPr>
                <w:rFonts w:cs="Segoe UI"/>
                <w:sz w:val="18"/>
              </w:rPr>
              <w:t>need?</w:t>
            </w:r>
          </w:p>
          <w:p w:rsidR="00370325" w:rsidRDefault="00370325" w:rsidP="00370325">
            <w:pPr>
              <w:pStyle w:val="ListParagraph"/>
              <w:numPr>
                <w:ilvl w:val="0"/>
                <w:numId w:val="1"/>
              </w:numPr>
              <w:spacing w:before="0" w:after="0"/>
              <w:rPr>
                <w:rFonts w:cs="Segoe UI"/>
                <w:sz w:val="18"/>
              </w:rPr>
            </w:pPr>
            <w:r>
              <w:rPr>
                <w:rFonts w:cs="Segoe UI"/>
                <w:sz w:val="18"/>
              </w:rPr>
              <w:t>Do you have proper safety measures in place for wiring funds out of your trust account?</w:t>
            </w:r>
          </w:p>
          <w:p w:rsidR="00370325" w:rsidRPr="009A7808" w:rsidRDefault="00370325" w:rsidP="00370325">
            <w:pPr>
              <w:pStyle w:val="ListParagraph"/>
              <w:numPr>
                <w:ilvl w:val="0"/>
                <w:numId w:val="1"/>
              </w:numPr>
              <w:spacing w:before="0" w:after="0"/>
              <w:rPr>
                <w:rFonts w:cs="Segoe UI"/>
                <w:sz w:val="18"/>
              </w:rPr>
            </w:pPr>
            <w:r>
              <w:rPr>
                <w:rFonts w:cs="Segoe UI"/>
                <w:sz w:val="18"/>
              </w:rPr>
              <w:t>Do you have a procedure in place for termination of an employee with signatory or wiring authority?</w:t>
            </w:r>
          </w:p>
          <w:p w:rsidR="00370325" w:rsidRPr="009A7808" w:rsidRDefault="00370325" w:rsidP="00370325">
            <w:pPr>
              <w:pStyle w:val="ListParagraph"/>
              <w:numPr>
                <w:ilvl w:val="0"/>
                <w:numId w:val="1"/>
              </w:numPr>
              <w:spacing w:before="0" w:after="0"/>
              <w:rPr>
                <w:rFonts w:cs="Segoe UI"/>
                <w:sz w:val="18"/>
              </w:rPr>
            </w:pPr>
            <w:r>
              <w:rPr>
                <w:rFonts w:cs="Segoe UI"/>
                <w:sz w:val="18"/>
              </w:rPr>
              <w:t>Do you have c</w:t>
            </w:r>
            <w:r w:rsidRPr="009A7808">
              <w:rPr>
                <w:rFonts w:cs="Segoe UI"/>
                <w:sz w:val="18"/>
              </w:rPr>
              <w:t>entralized disbursement for multiple offices?</w:t>
            </w:r>
          </w:p>
          <w:p w:rsidR="00370325" w:rsidRPr="009A7808" w:rsidRDefault="00370325" w:rsidP="00370325">
            <w:pPr>
              <w:pStyle w:val="ListParagraph"/>
              <w:numPr>
                <w:ilvl w:val="0"/>
                <w:numId w:val="1"/>
              </w:numPr>
              <w:spacing w:before="0" w:after="0"/>
              <w:rPr>
                <w:rFonts w:cs="Segoe UI"/>
                <w:sz w:val="18"/>
              </w:rPr>
            </w:pPr>
            <w:r w:rsidRPr="009A7808">
              <w:rPr>
                <w:rFonts w:cs="Segoe UI"/>
                <w:sz w:val="18"/>
              </w:rPr>
              <w:t xml:space="preserve">Have you performed </w:t>
            </w:r>
            <w:bookmarkStart w:id="0" w:name="_GoBack"/>
            <w:bookmarkEnd w:id="0"/>
            <w:r w:rsidRPr="009A7808">
              <w:rPr>
                <w:rFonts w:cs="Segoe UI"/>
                <w:sz w:val="18"/>
              </w:rPr>
              <w:t>background checks on your staff?</w:t>
            </w:r>
          </w:p>
          <w:p w:rsidR="00370325" w:rsidRPr="009A7808" w:rsidRDefault="00370325" w:rsidP="00370325">
            <w:pPr>
              <w:pStyle w:val="ListParagraph"/>
              <w:numPr>
                <w:ilvl w:val="0"/>
                <w:numId w:val="1"/>
              </w:numPr>
              <w:spacing w:before="0" w:after="0"/>
              <w:rPr>
                <w:rFonts w:cs="Segoe UI"/>
                <w:sz w:val="18"/>
              </w:rPr>
            </w:pPr>
            <w:r>
              <w:rPr>
                <w:rFonts w:cs="Segoe UI"/>
                <w:sz w:val="18"/>
              </w:rPr>
              <w:t>Do you complete</w:t>
            </w:r>
            <w:r w:rsidRPr="009A7808">
              <w:rPr>
                <w:rFonts w:cs="Segoe UI"/>
                <w:sz w:val="18"/>
              </w:rPr>
              <w:t xml:space="preserve"> three-way </w:t>
            </w:r>
            <w:r>
              <w:rPr>
                <w:rFonts w:cs="Segoe UI"/>
                <w:sz w:val="18"/>
              </w:rPr>
              <w:t>trust account</w:t>
            </w:r>
            <w:r w:rsidRPr="009A7808">
              <w:rPr>
                <w:rFonts w:cs="Segoe UI"/>
                <w:sz w:val="18"/>
              </w:rPr>
              <w:t xml:space="preserve"> reconciliations </w:t>
            </w:r>
            <w:r>
              <w:rPr>
                <w:rFonts w:cs="Segoe UI"/>
                <w:sz w:val="18"/>
              </w:rPr>
              <w:t>monthly?</w:t>
            </w:r>
          </w:p>
          <w:p w:rsidR="00370325" w:rsidRPr="009A7808" w:rsidRDefault="00370325" w:rsidP="00370325">
            <w:pPr>
              <w:pStyle w:val="ListParagraph"/>
              <w:numPr>
                <w:ilvl w:val="0"/>
                <w:numId w:val="1"/>
              </w:numPr>
              <w:spacing w:before="0" w:after="0"/>
              <w:rPr>
                <w:rFonts w:cs="Segoe UI"/>
                <w:sz w:val="18"/>
              </w:rPr>
            </w:pPr>
            <w:r w:rsidRPr="009A7808">
              <w:rPr>
                <w:rFonts w:cs="Segoe UI"/>
                <w:sz w:val="18"/>
              </w:rPr>
              <w:t xml:space="preserve">Who prepares your </w:t>
            </w:r>
            <w:r>
              <w:rPr>
                <w:rFonts w:cs="Segoe UI"/>
                <w:sz w:val="18"/>
              </w:rPr>
              <w:t>trust account</w:t>
            </w:r>
            <w:r w:rsidRPr="009A7808">
              <w:rPr>
                <w:rFonts w:cs="Segoe UI"/>
                <w:sz w:val="18"/>
              </w:rPr>
              <w:t xml:space="preserve"> reconciliations?</w:t>
            </w:r>
            <w:r w:rsidRPr="002255B9">
              <w:rPr>
                <w:rFonts w:cs="Segoe UI"/>
                <w:sz w:val="18"/>
              </w:rPr>
              <w:t xml:space="preserve"> </w:t>
            </w:r>
            <w:r>
              <w:rPr>
                <w:rFonts w:cs="Segoe UI"/>
                <w:sz w:val="18"/>
              </w:rPr>
              <w:t>C</w:t>
            </w:r>
            <w:r w:rsidRPr="002255B9">
              <w:rPr>
                <w:rFonts w:cs="Segoe UI"/>
                <w:sz w:val="18"/>
              </w:rPr>
              <w:t>onsider value of staff time/experience to prepare reconciliations?  Or is now the time to consider using an outside reconciliation service?</w:t>
            </w:r>
          </w:p>
          <w:p w:rsidR="00370325" w:rsidRPr="009A7808" w:rsidRDefault="00370325" w:rsidP="00370325">
            <w:pPr>
              <w:pStyle w:val="ListParagraph"/>
              <w:numPr>
                <w:ilvl w:val="0"/>
                <w:numId w:val="1"/>
              </w:numPr>
              <w:spacing w:before="0" w:after="0"/>
              <w:rPr>
                <w:rFonts w:cs="Segoe UI"/>
                <w:sz w:val="18"/>
              </w:rPr>
            </w:pPr>
            <w:r>
              <w:rPr>
                <w:rFonts w:cs="Segoe UI"/>
                <w:sz w:val="18"/>
              </w:rPr>
              <w:t>Do you segregate</w:t>
            </w:r>
            <w:r w:rsidRPr="009A7808">
              <w:rPr>
                <w:rFonts w:cs="Segoe UI"/>
                <w:sz w:val="18"/>
              </w:rPr>
              <w:t xml:space="preserve"> duties to ensure the reliability of the reconciliation and reconciliations are conducted by someone other than those with signing authority.</w:t>
            </w:r>
          </w:p>
          <w:p w:rsidR="00370325" w:rsidRPr="00EE6F04" w:rsidRDefault="00370325" w:rsidP="00370325">
            <w:pPr>
              <w:pStyle w:val="ListParagraph"/>
              <w:numPr>
                <w:ilvl w:val="0"/>
                <w:numId w:val="1"/>
              </w:numPr>
              <w:spacing w:before="0" w:after="0"/>
              <w:rPr>
                <w:rFonts w:cs="Segoe UI"/>
                <w:sz w:val="18"/>
              </w:rPr>
            </w:pPr>
            <w:r w:rsidRPr="00EE6F04">
              <w:rPr>
                <w:rFonts w:cs="Segoe UI"/>
                <w:sz w:val="18"/>
              </w:rPr>
              <w:t>Who reviews and approves your trust account reconciliations?  Are results of the reconciliation reviewed by management and are problems resolved as quickly as possible?</w:t>
            </w:r>
          </w:p>
          <w:p w:rsidR="00370325" w:rsidRPr="002C754F" w:rsidRDefault="00370325" w:rsidP="00370325">
            <w:pPr>
              <w:pStyle w:val="ListParagraph"/>
              <w:numPr>
                <w:ilvl w:val="0"/>
                <w:numId w:val="1"/>
              </w:numPr>
              <w:spacing w:before="0" w:after="0"/>
              <w:rPr>
                <w:rFonts w:cs="Segoe UI"/>
                <w:sz w:val="18"/>
              </w:rPr>
            </w:pPr>
            <w:r>
              <w:rPr>
                <w:rFonts w:cs="Segoe UI"/>
                <w:sz w:val="18"/>
              </w:rPr>
              <w:t>Do you maintain electronic reconciliation statements for future reference?</w:t>
            </w:r>
          </w:p>
        </w:tc>
      </w:tr>
    </w:tbl>
    <w:p w:rsidR="00A16975" w:rsidRDefault="00A16975"/>
    <w:sectPr w:rsidR="00A16975" w:rsidSect="00370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D4334"/>
    <w:multiLevelType w:val="hybridMultilevel"/>
    <w:tmpl w:val="E48C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25"/>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0325"/>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749"/>
    <w:rsid w:val="004C2E49"/>
    <w:rsid w:val="004C4639"/>
    <w:rsid w:val="004D7F47"/>
    <w:rsid w:val="004E1B65"/>
    <w:rsid w:val="004F626E"/>
    <w:rsid w:val="005137CA"/>
    <w:rsid w:val="00513B82"/>
    <w:rsid w:val="00514837"/>
    <w:rsid w:val="00517376"/>
    <w:rsid w:val="005210DA"/>
    <w:rsid w:val="005238FD"/>
    <w:rsid w:val="00523B4B"/>
    <w:rsid w:val="00524050"/>
    <w:rsid w:val="00526175"/>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271F8"/>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14B85"/>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5"/>
  </w:style>
  <w:style w:type="paragraph" w:styleId="Heading1">
    <w:name w:val="heading 1"/>
    <w:basedOn w:val="Normal"/>
    <w:link w:val="Heading1Char"/>
    <w:qFormat/>
    <w:rsid w:val="00370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3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0325"/>
    <w:rPr>
      <w:color w:val="0000FF"/>
      <w:u w:val="single"/>
    </w:rPr>
  </w:style>
  <w:style w:type="paragraph" w:styleId="ListParagraph">
    <w:name w:val="List Paragraph"/>
    <w:basedOn w:val="Normal"/>
    <w:uiPriority w:val="34"/>
    <w:qFormat/>
    <w:rsid w:val="00370325"/>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70325"/>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1"/>
    <w:basedOn w:val="DefaultParagraphFont"/>
    <w:rsid w:val="00370325"/>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70325"/>
    <w:rPr>
      <w:rFonts w:ascii="Verdana" w:hAnsi="Verdana" w:hint="default"/>
      <w:b/>
      <w:bCs/>
      <w:strike w:val="0"/>
      <w:dstrike w:val="0"/>
      <w:color w:val="666666"/>
      <w:sz w:val="21"/>
      <w:szCs w:val="21"/>
      <w:u w:val="none"/>
      <w:effect w:val="none"/>
    </w:rPr>
  </w:style>
  <w:style w:type="paragraph" w:styleId="BalloonText">
    <w:name w:val="Balloon Text"/>
    <w:basedOn w:val="Normal"/>
    <w:link w:val="BalloonTextChar"/>
    <w:uiPriority w:val="99"/>
    <w:semiHidden/>
    <w:unhideWhenUsed/>
    <w:rsid w:val="0037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5"/>
  </w:style>
  <w:style w:type="paragraph" w:styleId="Heading1">
    <w:name w:val="heading 1"/>
    <w:basedOn w:val="Normal"/>
    <w:link w:val="Heading1Char"/>
    <w:qFormat/>
    <w:rsid w:val="00370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3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0325"/>
    <w:rPr>
      <w:color w:val="0000FF"/>
      <w:u w:val="single"/>
    </w:rPr>
  </w:style>
  <w:style w:type="paragraph" w:styleId="ListParagraph">
    <w:name w:val="List Paragraph"/>
    <w:basedOn w:val="Normal"/>
    <w:uiPriority w:val="34"/>
    <w:qFormat/>
    <w:rsid w:val="00370325"/>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70325"/>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1"/>
    <w:basedOn w:val="DefaultParagraphFont"/>
    <w:rsid w:val="00370325"/>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70325"/>
    <w:rPr>
      <w:rFonts w:ascii="Verdana" w:hAnsi="Verdana" w:hint="default"/>
      <w:b/>
      <w:bCs/>
      <w:strike w:val="0"/>
      <w:dstrike w:val="0"/>
      <w:color w:val="666666"/>
      <w:sz w:val="21"/>
      <w:szCs w:val="21"/>
      <w:u w:val="none"/>
      <w:effect w:val="none"/>
    </w:rPr>
  </w:style>
  <w:style w:type="paragraph" w:styleId="BalloonText">
    <w:name w:val="Balloon Text"/>
    <w:basedOn w:val="Normal"/>
    <w:link w:val="BalloonTextChar"/>
    <w:uiPriority w:val="99"/>
    <w:semiHidden/>
    <w:unhideWhenUsed/>
    <w:rsid w:val="0037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ba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2015-04-12T20:27:00Z</dcterms:created>
  <dcterms:modified xsi:type="dcterms:W3CDTF">2015-04-12T20:28:00Z</dcterms:modified>
</cp:coreProperties>
</file>